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D1BB5" w14:textId="77777777" w:rsidR="00DC2C8D" w:rsidRPr="00E76B1F" w:rsidRDefault="00A314FF" w:rsidP="00A314FF">
      <w:pPr>
        <w:jc w:val="center"/>
        <w:rPr>
          <w:rFonts w:ascii="Garamond" w:hAnsi="Garamond"/>
          <w:b/>
          <w:sz w:val="36"/>
          <w:szCs w:val="36"/>
        </w:rPr>
      </w:pPr>
      <w:r w:rsidRPr="00E76B1F">
        <w:rPr>
          <w:rFonts w:ascii="Garamond" w:hAnsi="Garamond"/>
          <w:b/>
          <w:sz w:val="36"/>
          <w:szCs w:val="36"/>
        </w:rPr>
        <w:t>Levels of Acoustic Registration</w:t>
      </w:r>
    </w:p>
    <w:p w14:paraId="58FCC4B2" w14:textId="77777777" w:rsidR="00A314FF" w:rsidRDefault="00E76B1F" w:rsidP="00A314FF">
      <w:pPr>
        <w:jc w:val="center"/>
        <w:rPr>
          <w:rFonts w:ascii="Garamond" w:hAnsi="Garamond"/>
          <w:b/>
          <w:sz w:val="20"/>
          <w:szCs w:val="20"/>
        </w:rPr>
      </w:pPr>
      <w:r>
        <w:rPr>
          <w:rFonts w:ascii="Garamond" w:hAnsi="Garamond"/>
          <w:b/>
          <w:sz w:val="20"/>
          <w:szCs w:val="20"/>
        </w:rPr>
        <w:t>Prepared by Kenneth Bozeman</w:t>
      </w:r>
    </w:p>
    <w:p w14:paraId="44877574" w14:textId="77777777" w:rsidR="007F774B" w:rsidRPr="00E76B1F" w:rsidRDefault="007F774B" w:rsidP="00A314FF">
      <w:pPr>
        <w:jc w:val="center"/>
        <w:rPr>
          <w:rFonts w:ascii="Garamond" w:hAnsi="Garamond"/>
          <w:b/>
          <w:sz w:val="20"/>
          <w:szCs w:val="20"/>
        </w:rPr>
      </w:pPr>
    </w:p>
    <w:p w14:paraId="7412C79D" w14:textId="1EB38416" w:rsidR="00A314FF" w:rsidRDefault="0089199F" w:rsidP="00A314FF">
      <w:pPr>
        <w:jc w:val="center"/>
        <w:rPr>
          <w:rFonts w:ascii="Garamond" w:hAnsi="Garamond"/>
          <w:b/>
          <w:sz w:val="32"/>
          <w:szCs w:val="32"/>
        </w:rPr>
      </w:pPr>
      <w:r>
        <w:rPr>
          <w:rFonts w:ascii="Garamond" w:hAnsi="Garamond"/>
          <w:b/>
          <w:noProof/>
          <w:sz w:val="32"/>
          <w:szCs w:val="32"/>
        </w:rPr>
        <w:drawing>
          <wp:inline distT="0" distB="0" distL="0" distR="0" wp14:anchorId="67DEF2F1" wp14:editId="0A453642">
            <wp:extent cx="5943600" cy="1859915"/>
            <wp:effectExtent l="38100" t="38100" r="38100" b="323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5943600" cy="1859915"/>
                    </a:xfrm>
                    <a:prstGeom prst="rect">
                      <a:avLst/>
                    </a:prstGeom>
                    <a:ln w="38100">
                      <a:solidFill>
                        <a:schemeClr val="tx1"/>
                      </a:solidFill>
                    </a:ln>
                  </pic:spPr>
                </pic:pic>
              </a:graphicData>
            </a:graphic>
          </wp:inline>
        </w:drawing>
      </w:r>
    </w:p>
    <w:p w14:paraId="0F80C1E8" w14:textId="77777777" w:rsidR="00A314FF" w:rsidRDefault="00A314FF" w:rsidP="00A314FF">
      <w:pPr>
        <w:jc w:val="center"/>
        <w:rPr>
          <w:rFonts w:ascii="Garamond" w:hAnsi="Garamond"/>
          <w:b/>
          <w:sz w:val="32"/>
          <w:szCs w:val="32"/>
        </w:rPr>
      </w:pPr>
    </w:p>
    <w:p w14:paraId="599B9C19" w14:textId="237C72BB" w:rsidR="00A314FF" w:rsidRDefault="0089199F" w:rsidP="00A314FF">
      <w:pPr>
        <w:jc w:val="center"/>
        <w:rPr>
          <w:rFonts w:ascii="Garamond" w:hAnsi="Garamond"/>
          <w:b/>
          <w:sz w:val="32"/>
          <w:szCs w:val="32"/>
        </w:rPr>
      </w:pPr>
      <w:r>
        <w:rPr>
          <w:rFonts w:ascii="Garamond" w:hAnsi="Garamond"/>
          <w:b/>
          <w:noProof/>
          <w:sz w:val="32"/>
          <w:szCs w:val="32"/>
        </w:rPr>
        <w:drawing>
          <wp:inline distT="0" distB="0" distL="0" distR="0" wp14:anchorId="784A377D" wp14:editId="7CEA798F">
            <wp:extent cx="5943600" cy="1859915"/>
            <wp:effectExtent l="38100" t="38100" r="38100" b="323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5943600" cy="1859915"/>
                    </a:xfrm>
                    <a:prstGeom prst="rect">
                      <a:avLst/>
                    </a:prstGeom>
                    <a:ln w="38100">
                      <a:solidFill>
                        <a:schemeClr val="tx1"/>
                      </a:solidFill>
                    </a:ln>
                  </pic:spPr>
                </pic:pic>
              </a:graphicData>
            </a:graphic>
          </wp:inline>
        </w:drawing>
      </w:r>
    </w:p>
    <w:p w14:paraId="41C05B7A" w14:textId="77777777" w:rsidR="00A314FF" w:rsidRPr="00A314FF" w:rsidRDefault="00A314FF" w:rsidP="00A314FF">
      <w:pPr>
        <w:jc w:val="center"/>
        <w:rPr>
          <w:rFonts w:ascii="Garamond" w:hAnsi="Garamond"/>
          <w:b/>
          <w:color w:val="0070C0"/>
          <w:sz w:val="32"/>
          <w:szCs w:val="32"/>
        </w:rPr>
      </w:pPr>
    </w:p>
    <w:p w14:paraId="0B821C7C" w14:textId="77777777" w:rsidR="00A314FF" w:rsidRDefault="00A314FF" w:rsidP="007F774B">
      <w:pPr>
        <w:spacing w:after="120"/>
        <w:rPr>
          <w:rFonts w:ascii="Garamond" w:hAnsi="Garamond"/>
          <w:b/>
        </w:rPr>
      </w:pPr>
      <w:r w:rsidRPr="00A314FF">
        <w:rPr>
          <w:rFonts w:ascii="Garamond" w:hAnsi="Garamond"/>
          <w:b/>
          <w:color w:val="C00000"/>
        </w:rPr>
        <w:t xml:space="preserve">Whoop Timbre:  </w:t>
      </w:r>
      <w:r>
        <w:rPr>
          <w:rFonts w:ascii="Garamond" w:hAnsi="Garamond"/>
          <w:b/>
        </w:rPr>
        <w:t xml:space="preserve">Sung pitches that match the first formant IPA boxes on the treble clef are in whoop timbre.  The vocal tract resonances that are generating those first formant locations will need to </w:t>
      </w:r>
      <w:r w:rsidR="00E76B1F">
        <w:rPr>
          <w:rFonts w:ascii="Garamond" w:hAnsi="Garamond"/>
          <w:b/>
        </w:rPr>
        <w:t>track the sung pitch</w:t>
      </w:r>
      <w:r>
        <w:rPr>
          <w:rFonts w:ascii="Garamond" w:hAnsi="Garamond"/>
          <w:b/>
        </w:rPr>
        <w:t xml:space="preserve"> higher to </w:t>
      </w:r>
      <w:r w:rsidR="00E76B1F">
        <w:rPr>
          <w:rFonts w:ascii="Garamond" w:hAnsi="Garamond"/>
          <w:b/>
        </w:rPr>
        <w:t>maintain</w:t>
      </w:r>
      <w:r>
        <w:rPr>
          <w:rFonts w:ascii="Garamond" w:hAnsi="Garamond"/>
          <w:b/>
        </w:rPr>
        <w:t xml:space="preserve"> whoop timbre.</w:t>
      </w:r>
      <w:r w:rsidR="00E76B1F">
        <w:rPr>
          <w:rFonts w:ascii="Garamond" w:hAnsi="Garamond"/>
          <w:b/>
        </w:rPr>
        <w:t xml:space="preserve"> This is done by vowel opening. Whoop timbre is fundamental dominant, and sounds like “head” voice.</w:t>
      </w:r>
    </w:p>
    <w:p w14:paraId="198B6743" w14:textId="77777777" w:rsidR="00A314FF" w:rsidRDefault="00A314FF" w:rsidP="007F774B">
      <w:pPr>
        <w:spacing w:after="120"/>
        <w:rPr>
          <w:rFonts w:ascii="Garamond" w:hAnsi="Garamond"/>
          <w:b/>
        </w:rPr>
      </w:pPr>
      <w:r w:rsidRPr="00A314FF">
        <w:rPr>
          <w:rFonts w:ascii="Garamond" w:hAnsi="Garamond"/>
          <w:b/>
          <w:color w:val="C00000"/>
        </w:rPr>
        <w:t xml:space="preserve">Close Timbre: </w:t>
      </w:r>
      <w:r>
        <w:rPr>
          <w:rFonts w:ascii="Garamond" w:hAnsi="Garamond"/>
          <w:b/>
        </w:rPr>
        <w:t xml:space="preserve">Sung pitches between the first formant boxes and the black </w:t>
      </w:r>
      <w:r w:rsidR="00E76B1F">
        <w:rPr>
          <w:rFonts w:ascii="Garamond" w:hAnsi="Garamond"/>
          <w:b/>
        </w:rPr>
        <w:t>“</w:t>
      </w:r>
      <w:r>
        <w:rPr>
          <w:rFonts w:ascii="Garamond" w:hAnsi="Garamond"/>
          <w:b/>
        </w:rPr>
        <w:t>pitches of turning</w:t>
      </w:r>
      <w:r w:rsidR="00E76B1F">
        <w:rPr>
          <w:rFonts w:ascii="Garamond" w:hAnsi="Garamond"/>
          <w:b/>
        </w:rPr>
        <w:t>”</w:t>
      </w:r>
      <w:r>
        <w:rPr>
          <w:rFonts w:ascii="Garamond" w:hAnsi="Garamond"/>
          <w:b/>
        </w:rPr>
        <w:t xml:space="preserve"> an octave below are in close timbre.</w:t>
      </w:r>
    </w:p>
    <w:p w14:paraId="1405413F" w14:textId="77777777" w:rsidR="00A314FF" w:rsidRDefault="00A314FF" w:rsidP="007F774B">
      <w:pPr>
        <w:spacing w:after="120"/>
        <w:rPr>
          <w:rFonts w:ascii="Garamond" w:hAnsi="Garamond"/>
          <w:b/>
        </w:rPr>
      </w:pPr>
      <w:r w:rsidRPr="00A314FF">
        <w:rPr>
          <w:rFonts w:ascii="Garamond" w:hAnsi="Garamond"/>
          <w:b/>
          <w:color w:val="C00000"/>
        </w:rPr>
        <w:t xml:space="preserve">Pitches of Turning:  </w:t>
      </w:r>
      <w:r>
        <w:rPr>
          <w:rFonts w:ascii="Garamond" w:hAnsi="Garamond"/>
          <w:b/>
        </w:rPr>
        <w:t>the black pitches indicate the transition</w:t>
      </w:r>
      <w:r w:rsidR="00E76B1F">
        <w:rPr>
          <w:rFonts w:ascii="Garamond" w:hAnsi="Garamond"/>
          <w:b/>
        </w:rPr>
        <w:t xml:space="preserve"> pitches</w:t>
      </w:r>
      <w:r>
        <w:rPr>
          <w:rFonts w:ascii="Garamond" w:hAnsi="Garamond"/>
          <w:b/>
        </w:rPr>
        <w:t xml:space="preserve"> between open and close timbre—sung pitches above them are </w:t>
      </w:r>
      <w:r w:rsidR="00E76B1F">
        <w:rPr>
          <w:rFonts w:ascii="Garamond" w:hAnsi="Garamond"/>
          <w:b/>
        </w:rPr>
        <w:t xml:space="preserve">in </w:t>
      </w:r>
      <w:r>
        <w:rPr>
          <w:rFonts w:ascii="Garamond" w:hAnsi="Garamond"/>
          <w:b/>
        </w:rPr>
        <w:t xml:space="preserve">close, sung pitches below them are </w:t>
      </w:r>
      <w:r w:rsidR="00E76B1F">
        <w:rPr>
          <w:rFonts w:ascii="Garamond" w:hAnsi="Garamond"/>
          <w:b/>
        </w:rPr>
        <w:t xml:space="preserve">in </w:t>
      </w:r>
      <w:r>
        <w:rPr>
          <w:rFonts w:ascii="Garamond" w:hAnsi="Garamond"/>
          <w:b/>
        </w:rPr>
        <w:t>open for the indicated vowel.</w:t>
      </w:r>
    </w:p>
    <w:p w14:paraId="28A4C170" w14:textId="77777777" w:rsidR="00A314FF" w:rsidRDefault="00A314FF" w:rsidP="007F774B">
      <w:pPr>
        <w:spacing w:after="120"/>
        <w:rPr>
          <w:rFonts w:ascii="Garamond" w:hAnsi="Garamond"/>
          <w:b/>
        </w:rPr>
      </w:pPr>
      <w:r w:rsidRPr="00A314FF">
        <w:rPr>
          <w:rFonts w:ascii="Garamond" w:hAnsi="Garamond"/>
          <w:b/>
          <w:color w:val="C00000"/>
        </w:rPr>
        <w:t xml:space="preserve">Open Timbre:  </w:t>
      </w:r>
      <w:r>
        <w:rPr>
          <w:rFonts w:ascii="Garamond" w:hAnsi="Garamond"/>
          <w:b/>
        </w:rPr>
        <w:t>Sung pitches below the black pitches of turning are in open timbre.</w:t>
      </w:r>
    </w:p>
    <w:p w14:paraId="539DBE54" w14:textId="77777777" w:rsidR="00A314FF" w:rsidRDefault="00A314FF" w:rsidP="007F774B">
      <w:pPr>
        <w:spacing w:after="120"/>
        <w:rPr>
          <w:rFonts w:ascii="Garamond" w:hAnsi="Garamond"/>
          <w:b/>
        </w:rPr>
      </w:pPr>
      <w:r w:rsidRPr="00A314FF">
        <w:rPr>
          <w:rFonts w:ascii="Garamond" w:hAnsi="Garamond"/>
          <w:b/>
          <w:color w:val="C00000"/>
        </w:rPr>
        <w:t xml:space="preserve">Levels of Open Timbre: </w:t>
      </w:r>
      <w:r>
        <w:rPr>
          <w:rFonts w:ascii="Garamond" w:hAnsi="Garamond"/>
          <w:b/>
        </w:rPr>
        <w:t>sung pitches below the red pitches o</w:t>
      </w:r>
      <w:r w:rsidR="00E76B1F">
        <w:rPr>
          <w:rFonts w:ascii="Garamond" w:hAnsi="Garamond"/>
          <w:b/>
        </w:rPr>
        <w:t>pen</w:t>
      </w:r>
      <w:r>
        <w:rPr>
          <w:rFonts w:ascii="Garamond" w:hAnsi="Garamond"/>
          <w:b/>
        </w:rPr>
        <w:t xml:space="preserve"> further, and below the blue pitches </w:t>
      </w:r>
      <w:r w:rsidR="00E76B1F">
        <w:rPr>
          <w:rFonts w:ascii="Garamond" w:hAnsi="Garamond"/>
          <w:b/>
        </w:rPr>
        <w:t>open even more. Increasing openness of timbre increases auditory roughness (</w:t>
      </w:r>
      <w:proofErr w:type="spellStart"/>
      <w:r w:rsidR="00E76B1F">
        <w:rPr>
          <w:rFonts w:ascii="Garamond" w:hAnsi="Garamond"/>
          <w:b/>
        </w:rPr>
        <w:t>buzziness</w:t>
      </w:r>
      <w:proofErr w:type="spellEnd"/>
      <w:r w:rsidR="00E76B1F">
        <w:rPr>
          <w:rFonts w:ascii="Garamond" w:hAnsi="Garamond"/>
          <w:b/>
        </w:rPr>
        <w:t>).</w:t>
      </w:r>
    </w:p>
    <w:p w14:paraId="659B71C8" w14:textId="77777777" w:rsidR="00A314FF" w:rsidRPr="00A314FF" w:rsidRDefault="00A314FF" w:rsidP="00A314FF">
      <w:pPr>
        <w:rPr>
          <w:rFonts w:ascii="Garamond" w:hAnsi="Garamond"/>
          <w:b/>
        </w:rPr>
      </w:pPr>
      <w:r w:rsidRPr="00A314FF">
        <w:rPr>
          <w:rFonts w:ascii="Garamond" w:hAnsi="Garamond"/>
          <w:b/>
          <w:color w:val="C00000"/>
        </w:rPr>
        <w:t xml:space="preserve">General Principle:  </w:t>
      </w:r>
      <w:r>
        <w:rPr>
          <w:rFonts w:ascii="Garamond" w:hAnsi="Garamond"/>
          <w:b/>
        </w:rPr>
        <w:t xml:space="preserve">The more harmonics there are below the first formant, the more open the timbre will be. One harmonic below </w:t>
      </w:r>
      <w:r w:rsidR="00E76B1F">
        <w:rPr>
          <w:rFonts w:ascii="Garamond" w:hAnsi="Garamond"/>
          <w:b/>
        </w:rPr>
        <w:t xml:space="preserve">F1 </w:t>
      </w:r>
      <w:r>
        <w:rPr>
          <w:rFonts w:ascii="Garamond" w:hAnsi="Garamond"/>
          <w:b/>
        </w:rPr>
        <w:t>is close timbre</w:t>
      </w:r>
      <w:r w:rsidR="00E76B1F">
        <w:rPr>
          <w:rFonts w:ascii="Garamond" w:hAnsi="Garamond"/>
          <w:b/>
        </w:rPr>
        <w:t xml:space="preserve"> </w:t>
      </w:r>
      <w:r>
        <w:rPr>
          <w:rFonts w:ascii="Garamond" w:hAnsi="Garamond"/>
          <w:b/>
        </w:rPr>
        <w:t>(pitche</w:t>
      </w:r>
      <w:r w:rsidR="00E76B1F">
        <w:rPr>
          <w:rFonts w:ascii="Garamond" w:hAnsi="Garamond"/>
          <w:b/>
        </w:rPr>
        <w:t>s within an octave below the fir</w:t>
      </w:r>
      <w:r>
        <w:rPr>
          <w:rFonts w:ascii="Garamond" w:hAnsi="Garamond"/>
          <w:b/>
        </w:rPr>
        <w:t xml:space="preserve">st formant); two harmonics below </w:t>
      </w:r>
      <w:r w:rsidR="00E76B1F">
        <w:rPr>
          <w:rFonts w:ascii="Garamond" w:hAnsi="Garamond"/>
          <w:b/>
        </w:rPr>
        <w:t xml:space="preserve">F1 </w:t>
      </w:r>
      <w:r>
        <w:rPr>
          <w:rFonts w:ascii="Garamond" w:hAnsi="Garamond"/>
          <w:b/>
        </w:rPr>
        <w:t>is open timbre (pitches more than one octave below the first formant); three is more open, four more open yet, etc.</w:t>
      </w:r>
    </w:p>
    <w:sectPr w:rsidR="00A314FF" w:rsidRPr="00A314FF" w:rsidSect="007E3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FF"/>
    <w:rsid w:val="002340F8"/>
    <w:rsid w:val="007E3B4A"/>
    <w:rsid w:val="007F774B"/>
    <w:rsid w:val="0089199F"/>
    <w:rsid w:val="00A314FF"/>
    <w:rsid w:val="00DC2C8D"/>
    <w:rsid w:val="00E7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AFCA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Kenneth Bozeman</cp:lastModifiedBy>
  <cp:revision>2</cp:revision>
  <cp:lastPrinted>2019-01-23T23:11:00Z</cp:lastPrinted>
  <dcterms:created xsi:type="dcterms:W3CDTF">2020-10-31T17:08:00Z</dcterms:created>
  <dcterms:modified xsi:type="dcterms:W3CDTF">2020-10-31T17:08:00Z</dcterms:modified>
</cp:coreProperties>
</file>