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AB" w:rsidRDefault="002B0DAB" w:rsidP="002B0DAB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Calibri" w:hAnsi="Calibri" w:cs="Calibri"/>
          <w:b/>
          <w:bCs/>
          <w:color w:val="1F1F1F"/>
        </w:rPr>
      </w:pPr>
      <w:r w:rsidRPr="002B0DAB">
        <w:rPr>
          <w:rFonts w:ascii="Calibri" w:hAnsi="Calibri" w:cs="Calibri"/>
          <w:b/>
          <w:bCs/>
          <w:color w:val="1F1F1F"/>
        </w:rPr>
        <w:t>Definitions</w:t>
      </w:r>
      <w:r>
        <w:rPr>
          <w:rFonts w:ascii="Calibri" w:hAnsi="Calibri" w:cs="Calibri"/>
          <w:b/>
          <w:bCs/>
          <w:color w:val="1F1F1F"/>
        </w:rPr>
        <w:t xml:space="preserve"> for Infectious Diseases Epidemiology</w:t>
      </w:r>
      <w:r>
        <w:rPr>
          <w:rStyle w:val="FootnoteReference"/>
          <w:rFonts w:ascii="Calibri" w:hAnsi="Calibri" w:cs="Calibri"/>
          <w:b/>
          <w:bCs/>
          <w:color w:val="1F1F1F"/>
        </w:rPr>
        <w:footnoteReference w:id="1"/>
      </w:r>
    </w:p>
    <w:p w:rsidR="003D72EA" w:rsidRPr="00F57AC4" w:rsidRDefault="003D72EA" w:rsidP="002B0DAB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Basic Reproduction Number (R</w:t>
      </w:r>
      <w:r w:rsidRPr="002B0DAB">
        <w:rPr>
          <w:rStyle w:val="Strong"/>
          <w:rFonts w:ascii="Calibri" w:hAnsi="Calibri" w:cs="Calibri"/>
          <w:color w:val="1F1F1F"/>
          <w:vertAlign w:val="subscript"/>
        </w:rPr>
        <w:t>0</w:t>
      </w:r>
      <w:r w:rsidR="002B0DAB">
        <w:rPr>
          <w:rStyle w:val="Strong"/>
          <w:rFonts w:ascii="Calibri" w:hAnsi="Calibri" w:cs="Calibri"/>
          <w:color w:val="1F1F1F"/>
        </w:rPr>
        <w:t>)</w:t>
      </w:r>
      <w:r w:rsidRPr="00F57AC4">
        <w:rPr>
          <w:rStyle w:val="Strong"/>
          <w:rFonts w:ascii="Calibri" w:hAnsi="Calibri" w:cs="Calibri"/>
          <w:color w:val="1F1F1F"/>
        </w:rPr>
        <w:t>: </w:t>
      </w:r>
      <w:r w:rsidRPr="00F57AC4">
        <w:rPr>
          <w:rFonts w:ascii="Calibri" w:hAnsi="Calibri" w:cs="Calibri"/>
          <w:color w:val="1F1F1F"/>
        </w:rPr>
        <w:t>The average number of secondary cases produced by a single infected case in an otherwise susceptible population.</w:t>
      </w:r>
      <w:r w:rsidR="002B0DAB">
        <w:rPr>
          <w:rFonts w:ascii="Calibri" w:hAnsi="Calibri" w:cs="Calibri"/>
          <w:color w:val="1F1F1F"/>
        </w:rPr>
        <w:t xml:space="preserve">  Pronounced “R naught”. 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Case fatality ratio (CFR): </w:t>
      </w:r>
      <w:r w:rsidRPr="00F57AC4">
        <w:rPr>
          <w:rFonts w:ascii="Calibri" w:hAnsi="Calibri" w:cs="Calibri"/>
          <w:color w:val="1F1F1F"/>
        </w:rPr>
        <w:t>The proportion of detected cases of a given disease that die as a result of it.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Cluster:</w:t>
      </w:r>
      <w:r w:rsidRPr="00F57AC4">
        <w:rPr>
          <w:rFonts w:ascii="Calibri" w:hAnsi="Calibri" w:cs="Calibri"/>
          <w:color w:val="1F1F1F"/>
        </w:rPr>
        <w:t> An aggregation of cases grouped in place and time that are suspected to be greater than the number expected, even though the expected number may not be known.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Effective Reproduction Number:</w:t>
      </w:r>
      <w:r w:rsidRPr="00F57AC4">
        <w:rPr>
          <w:rFonts w:ascii="Calibri" w:hAnsi="Calibri" w:cs="Calibri"/>
          <w:color w:val="1F1F1F"/>
        </w:rPr>
        <w:t> The average number of secondary cases arising from an infected case, with a given level of immunity in the population.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Endemic: </w:t>
      </w:r>
      <w:r w:rsidRPr="00F57AC4">
        <w:rPr>
          <w:rFonts w:ascii="Calibri" w:hAnsi="Calibri" w:cs="Calibri"/>
          <w:color w:val="1F1F1F"/>
        </w:rPr>
        <w:t>Refers to the constant presence, and/or usual prevalence of an infectious disease in a population within a geographic area. The amount of a particular disease that is usually present in a community is referred to as the baseline or endemic level of the disease.</w:t>
      </w:r>
    </w:p>
    <w:p w:rsidR="003D72EA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Epidemic: </w:t>
      </w:r>
      <w:r w:rsidRPr="00F57AC4">
        <w:rPr>
          <w:rFonts w:ascii="Calibri" w:hAnsi="Calibri" w:cs="Calibri"/>
          <w:color w:val="1F1F1F"/>
        </w:rPr>
        <w:t>The occurrence of disease cases in excess of normal expectancy, usually referring to a larger geographical area than "outbreak".</w:t>
      </w:r>
    </w:p>
    <w:p w:rsidR="004179CE" w:rsidRPr="004179CE" w:rsidRDefault="004179CE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2E6431">
        <w:rPr>
          <w:rFonts w:ascii="Calibri" w:hAnsi="Calibri" w:cs="Calibri"/>
          <w:b/>
          <w:bCs/>
          <w:color w:val="1F1F1F"/>
        </w:rPr>
        <w:t>Etiology:</w:t>
      </w:r>
      <w:r w:rsidRPr="004179CE">
        <w:rPr>
          <w:rFonts w:ascii="Calibri" w:hAnsi="Calibri" w:cs="Calibri"/>
          <w:color w:val="1F1F1F"/>
        </w:rPr>
        <w:t xml:space="preserve">  </w:t>
      </w:r>
      <w:r w:rsidRPr="004179CE">
        <w:rPr>
          <w:rFonts w:ascii="Calibri" w:hAnsi="Calibri" w:cs="Calibri"/>
          <w:color w:val="222222"/>
          <w:shd w:val="clear" w:color="auto" w:fill="FFFFFF"/>
        </w:rPr>
        <w:t>The causes or origins of the disease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Exposed: </w:t>
      </w:r>
      <w:r w:rsidRPr="00F57AC4">
        <w:rPr>
          <w:rFonts w:ascii="Calibri" w:hAnsi="Calibri" w:cs="Calibri"/>
          <w:color w:val="1F1F1F"/>
        </w:rPr>
        <w:t>A contact between a susceptible and infected person that could potentially lead to infection.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Fatality Rate of Infections (FRI):</w:t>
      </w:r>
      <w:r w:rsidRPr="00F57AC4">
        <w:rPr>
          <w:rFonts w:ascii="Calibri" w:hAnsi="Calibri" w:cs="Calibri"/>
          <w:color w:val="1F1F1F"/>
        </w:rPr>
        <w:t> The proportion of overall infections that die as a result of it.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Incidence:</w:t>
      </w:r>
      <w:r w:rsidRPr="00F57AC4">
        <w:rPr>
          <w:rFonts w:ascii="Calibri" w:hAnsi="Calibri" w:cs="Calibri"/>
          <w:color w:val="1F1F1F"/>
        </w:rPr>
        <w:t> The number of new infections during a given interval of time (for example, weekly incidence).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Incubation period:</w:t>
      </w:r>
      <w:r w:rsidRPr="00F57AC4">
        <w:rPr>
          <w:rFonts w:ascii="Calibri" w:hAnsi="Calibri" w:cs="Calibri"/>
          <w:color w:val="1F1F1F"/>
        </w:rPr>
        <w:t> Period between exposure and onset of clinical symptoms.</w:t>
      </w:r>
    </w:p>
    <w:p w:rsidR="003D72EA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Infectious period: </w:t>
      </w:r>
      <w:r w:rsidRPr="00F57AC4">
        <w:rPr>
          <w:rFonts w:ascii="Calibri" w:hAnsi="Calibri" w:cs="Calibri"/>
          <w:color w:val="1F1F1F"/>
        </w:rPr>
        <w:t>The length of time for which an infected individual is infectious to others.</w:t>
      </w:r>
    </w:p>
    <w:p w:rsidR="00324842" w:rsidRPr="00324842" w:rsidRDefault="00324842" w:rsidP="0032484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b/>
          <w:bCs/>
          <w:color w:val="1F1F1F"/>
        </w:rPr>
      </w:pPr>
      <w:r w:rsidRPr="00324842">
        <w:rPr>
          <w:rFonts w:ascii="Calibri" w:hAnsi="Calibri" w:cs="Calibri"/>
          <w:b/>
          <w:bCs/>
          <w:color w:val="1F1F1F"/>
        </w:rPr>
        <w:t xml:space="preserve">Inoculation: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</w:t>
      </w:r>
      <w:r w:rsidRPr="00324842">
        <w:rPr>
          <w:rFonts w:asciiTheme="minorHAnsi" w:hAnsiTheme="minorHAnsi" w:cstheme="minorHAnsi"/>
          <w:color w:val="222222"/>
          <w:shd w:val="clear" w:color="auto" w:fill="FFFFFF"/>
        </w:rPr>
        <w:t>inducing a mild case to foster immunity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 </w:t>
      </w:r>
      <w:bookmarkStart w:id="0" w:name="_GoBack"/>
      <w:bookmarkEnd w:id="0"/>
    </w:p>
    <w:p w:rsidR="003D72EA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lastRenderedPageBreak/>
        <w:t>Latent period:</w:t>
      </w:r>
      <w:r w:rsidRPr="00F57AC4">
        <w:rPr>
          <w:rFonts w:ascii="Calibri" w:hAnsi="Calibri" w:cs="Calibri"/>
          <w:color w:val="1F1F1F"/>
        </w:rPr>
        <w:t> Period between exposure and ability to transmit to others.</w:t>
      </w:r>
    </w:p>
    <w:p w:rsidR="004B5D59" w:rsidRPr="00F57AC4" w:rsidRDefault="004B5D59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4B5D59">
        <w:rPr>
          <w:rFonts w:ascii="Calibri" w:hAnsi="Calibri" w:cs="Calibri"/>
          <w:b/>
          <w:bCs/>
          <w:color w:val="1F1F1F"/>
        </w:rPr>
        <w:t>Nosology:</w:t>
      </w:r>
      <w:r>
        <w:rPr>
          <w:rFonts w:ascii="Calibri" w:hAnsi="Calibri" w:cs="Calibri"/>
          <w:color w:val="1F1F1F"/>
        </w:rPr>
        <w:t xml:space="preserve">  Disease classification.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Outbreak:</w:t>
      </w:r>
      <w:r w:rsidRPr="00F57AC4">
        <w:rPr>
          <w:rFonts w:ascii="Calibri" w:hAnsi="Calibri" w:cs="Calibri"/>
          <w:color w:val="1F1F1F"/>
        </w:rPr>
        <w:t> The occurrence of disease cases in excess of normal expectancy, usually referring to a smaller geographical area than "epidemic".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Pandemic:</w:t>
      </w:r>
      <w:r w:rsidRPr="00F57AC4">
        <w:rPr>
          <w:rFonts w:ascii="Calibri" w:hAnsi="Calibri" w:cs="Calibri"/>
          <w:color w:val="1F1F1F"/>
        </w:rPr>
        <w:t> An epidemic that has spread over several countries or continents, usually affecting a large number of individuals.</w:t>
      </w:r>
    </w:p>
    <w:p w:rsidR="003D72EA" w:rsidRPr="00F57AC4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Pathogen: </w:t>
      </w:r>
      <w:r w:rsidRPr="00F57AC4">
        <w:rPr>
          <w:rFonts w:ascii="Calibri" w:hAnsi="Calibri" w:cs="Calibri"/>
          <w:color w:val="1F1F1F"/>
        </w:rPr>
        <w:t>A micro-organism which can cause, or causes disease or damage to a host.</w:t>
      </w:r>
    </w:p>
    <w:p w:rsidR="003D72EA" w:rsidRDefault="003D72EA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Calibri" w:hAnsi="Calibri" w:cs="Calibri"/>
          <w:color w:val="1F1F1F"/>
        </w:rPr>
      </w:pPr>
      <w:r w:rsidRPr="00F57AC4">
        <w:rPr>
          <w:rStyle w:val="Strong"/>
          <w:rFonts w:ascii="Calibri" w:hAnsi="Calibri" w:cs="Calibri"/>
          <w:color w:val="1F1F1F"/>
        </w:rPr>
        <w:t>Prevalence:</w:t>
      </w:r>
      <w:r w:rsidRPr="00F57AC4">
        <w:rPr>
          <w:rFonts w:ascii="Calibri" w:hAnsi="Calibri" w:cs="Calibri"/>
          <w:color w:val="1F1F1F"/>
        </w:rPr>
        <w:t> The number of infected people in a population at a given point in time.</w:t>
      </w:r>
    </w:p>
    <w:p w:rsidR="004179CE" w:rsidRPr="004179CE" w:rsidRDefault="004179CE" w:rsidP="003D72E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Theme="minorHAnsi" w:hAnsiTheme="minorHAnsi" w:cstheme="minorHAnsi"/>
          <w:color w:val="1F1F1F"/>
        </w:rPr>
      </w:pPr>
      <w:r w:rsidRPr="004179CE">
        <w:rPr>
          <w:rFonts w:asciiTheme="minorHAnsi" w:hAnsiTheme="minorHAnsi" w:cstheme="minorHAnsi"/>
          <w:b/>
          <w:bCs/>
          <w:color w:val="1F1F1F"/>
        </w:rPr>
        <w:t>Vector:</w:t>
      </w:r>
      <w:r w:rsidRPr="004179CE">
        <w:rPr>
          <w:rFonts w:asciiTheme="minorHAnsi" w:hAnsiTheme="minorHAnsi" w:cstheme="minorHAnsi"/>
          <w:color w:val="1F1F1F"/>
        </w:rPr>
        <w:t xml:space="preserve">  </w:t>
      </w:r>
      <w:r w:rsidRPr="004179CE">
        <w:rPr>
          <w:rFonts w:asciiTheme="minorHAnsi" w:hAnsiTheme="minorHAnsi" w:cstheme="minorHAnsi"/>
          <w:color w:val="222222"/>
          <w:shd w:val="clear" w:color="auto" w:fill="FFFFFF"/>
        </w:rPr>
        <w:t>An animal or insect responsible for conveying a disease to human beings. </w:t>
      </w:r>
    </w:p>
    <w:p w:rsidR="00AC5481" w:rsidRDefault="00AC5481" w:rsidP="00AC5481">
      <w:pPr>
        <w:rPr>
          <w:rFonts w:ascii="Calibri" w:hAnsi="Calibri" w:cs="Calibri"/>
          <w:color w:val="1F1F1F"/>
          <w:sz w:val="24"/>
          <w:szCs w:val="24"/>
        </w:rPr>
      </w:pPr>
    </w:p>
    <w:sectPr w:rsidR="00AC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A5" w:rsidRDefault="002712A5" w:rsidP="002B0DAB">
      <w:pPr>
        <w:spacing w:after="0" w:line="240" w:lineRule="auto"/>
      </w:pPr>
      <w:r>
        <w:separator/>
      </w:r>
    </w:p>
  </w:endnote>
  <w:endnote w:type="continuationSeparator" w:id="0">
    <w:p w:rsidR="002712A5" w:rsidRDefault="002712A5" w:rsidP="002B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A5" w:rsidRDefault="002712A5" w:rsidP="002B0DAB">
      <w:pPr>
        <w:spacing w:after="0" w:line="240" w:lineRule="auto"/>
      </w:pPr>
      <w:r>
        <w:separator/>
      </w:r>
    </w:p>
  </w:footnote>
  <w:footnote w:type="continuationSeparator" w:id="0">
    <w:p w:rsidR="002712A5" w:rsidRDefault="002712A5" w:rsidP="002B0DAB">
      <w:pPr>
        <w:spacing w:after="0" w:line="240" w:lineRule="auto"/>
      </w:pPr>
      <w:r>
        <w:continuationSeparator/>
      </w:r>
    </w:p>
  </w:footnote>
  <w:footnote w:id="1">
    <w:p w:rsidR="002B0DAB" w:rsidRDefault="002B0DAB" w:rsidP="002B0DAB">
      <w:pPr>
        <w:pStyle w:val="FootnoteText"/>
      </w:pPr>
      <w:r>
        <w:rPr>
          <w:rStyle w:val="FootnoteReference"/>
        </w:rPr>
        <w:footnoteRef/>
      </w:r>
      <w:r>
        <w:t xml:space="preserve"> Original document from </w:t>
      </w:r>
      <w:r w:rsidRPr="002B0DAB">
        <w:rPr>
          <w:i/>
          <w:iCs/>
        </w:rPr>
        <w:t>Science Matter</w:t>
      </w:r>
      <w:r>
        <w:rPr>
          <w:i/>
          <w:iCs/>
        </w:rPr>
        <w:t xml:space="preserve">s: Let’s talk About COVID-19, </w:t>
      </w:r>
      <w:proofErr w:type="spellStart"/>
      <w:r>
        <w:t>Imperical</w:t>
      </w:r>
      <w:proofErr w:type="spellEnd"/>
      <w:r>
        <w:t xml:space="preserve"> College London, Abdul Latif </w:t>
      </w:r>
      <w:proofErr w:type="spellStart"/>
      <w:r>
        <w:t>Jameel</w:t>
      </w:r>
      <w:proofErr w:type="spellEnd"/>
      <w:r>
        <w:t xml:space="preserve"> Institute for Disease and Emergency Analytics.  Augmented with material from Frank M. Snowden, </w:t>
      </w:r>
      <w:r w:rsidRPr="002B0DAB">
        <w:rPr>
          <w:i/>
          <w:iCs/>
        </w:rPr>
        <w:t>Epidemics and Society, From the Black Death to the Present</w:t>
      </w:r>
      <w:r>
        <w:t>, Yale University Press,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EA"/>
    <w:rsid w:val="0017167E"/>
    <w:rsid w:val="002712A5"/>
    <w:rsid w:val="002B0DAB"/>
    <w:rsid w:val="002E6431"/>
    <w:rsid w:val="00324842"/>
    <w:rsid w:val="003A665B"/>
    <w:rsid w:val="003D72EA"/>
    <w:rsid w:val="004179CE"/>
    <w:rsid w:val="004B5D59"/>
    <w:rsid w:val="00570E2C"/>
    <w:rsid w:val="007D50C6"/>
    <w:rsid w:val="00915DA3"/>
    <w:rsid w:val="00A74E03"/>
    <w:rsid w:val="00AC5481"/>
    <w:rsid w:val="00B06F5E"/>
    <w:rsid w:val="00F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228F"/>
  <w15:chartTrackingRefBased/>
  <w15:docId w15:val="{03FEA49E-4FBB-4249-BD83-BB792FEB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72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D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F527-57AB-489F-8E8B-C44AA3E8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Gerard</dc:creator>
  <cp:keywords/>
  <dc:description/>
  <cp:lastModifiedBy>David Gerard</cp:lastModifiedBy>
  <cp:revision>2</cp:revision>
  <dcterms:created xsi:type="dcterms:W3CDTF">2020-03-20T05:38:00Z</dcterms:created>
  <dcterms:modified xsi:type="dcterms:W3CDTF">2020-03-31T20:21:00Z</dcterms:modified>
</cp:coreProperties>
</file>